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BD104F" w:rsidRPr="00BD104F" w:rsidTr="00BD104F">
        <w:trPr>
          <w:tblCellSpacing w:w="0" w:type="dxa"/>
        </w:trPr>
        <w:tc>
          <w:tcPr>
            <w:tcW w:w="5000" w:type="pct"/>
            <w:hideMark/>
          </w:tcPr>
          <w:p w:rsidR="00BD104F" w:rsidRPr="00BD104F" w:rsidRDefault="00BD104F" w:rsidP="00BD1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hideMark/>
          </w:tcPr>
          <w:p w:rsidR="00BD104F" w:rsidRPr="00BD104F" w:rsidRDefault="00BD104F" w:rsidP="00BD1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BD104F" w:rsidRPr="00BD104F" w:rsidTr="00BD104F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BD104F" w:rsidRPr="00BD104F" w:rsidRDefault="00BD104F" w:rsidP="00BD1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0" w:type="dxa"/>
            <w:vAlign w:val="center"/>
            <w:hideMark/>
          </w:tcPr>
          <w:p w:rsidR="00BD104F" w:rsidRPr="00BD104F" w:rsidRDefault="00BD104F" w:rsidP="00BD1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D104F" w:rsidRPr="00BD104F" w:rsidTr="00BD104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D104F" w:rsidRPr="00BD104F" w:rsidRDefault="00BD104F" w:rsidP="00BD104F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Доклад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C</w:t>
            </w:r>
            <w:proofErr w:type="gramEnd"/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екретаря</w:t>
            </w:r>
            <w:proofErr w:type="spellEnd"/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 xml:space="preserve"> ФНПР А.В. </w:t>
            </w:r>
            <w:proofErr w:type="spellStart"/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Шершукова</w:t>
            </w:r>
            <w:proofErr w:type="spellEnd"/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 xml:space="preserve">на </w:t>
            </w:r>
            <w:proofErr w:type="gramStart"/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заседании</w:t>
            </w:r>
            <w:proofErr w:type="gramEnd"/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 xml:space="preserve"> Генерального Совета ФНПР 26 октября 2016 года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«О состоянии информационной работы в ФНПР, </w:t>
            </w:r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br/>
              <w:t>ее членских организациях и задачах на предстоящий период </w:t>
            </w:r>
            <w:r w:rsidRPr="00BD104F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br/>
              <w:t>в свете решений IX съезда ФНПР» 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Уважаемые товарищи!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предложенной вам информационной записке содержатся основные цифровые параметры, характеризующие количественный уровень развития информационной работы в ФНПР на уровне центрального аппарата и в ее членских организациях.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Грубо говоря, общее число и динамика изменений этого числа профсоюзных печатных и электронных СМИ. Тем не менее, эти числа не всегда характеризуют качественную ситуацию в информационной работе, и - что еще более важно - качественные проблемы этой работы.  И уж совершенно они не затрагивают такую сложную вещь, как методы, эффективно разрешающие эти проблемы. Не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имитирующие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разрешение, а разрешающие.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Последнее, с моей точки зрения, является самым важным. По большому счету, все мы, хотя бы интуитивно и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общем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смысле, понимаем проблемы, как профсоюзного движения в целом, так и в частности - информационной работы. Стали общим утверждением тезисы - начиная от "кто владеет информацией - владеет миром" до заявлений о необходимости развития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информработы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.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большинстве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случаев эти утверждения не имеют ничего общего с реальным разрешением проблем. Точно также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документах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коллегиальных органов, оценивающих проблемы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информработы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 предлагающих методы разрешения этих проблем, очень часто либо мало конкретики, либо конкретные предложения регулярно не реализуются в отведенные сроки.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Приведу пример. Понятно, что мы все карлики на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плечах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гигантов, готовящих предыдущие постановления, поэтому я посмотрел документ Генсовета 2008 года (в прошлый раз Генсовет рассматривал вопрос информационной работы восемь лет назад), где давались конкретные поручения различным профсоюзным структурам.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Вот некоторые поручения, которые были зафиксированы с конкретной временной привязкой.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Цитата: "всемерно поддерживать деятельность центральной профсоюзной газеты «Солидарность», журналов ФНПР «Профсоюзы и экономика» и «Вести ФНПР», печатных органов общероссийских профсоюзов и территориальных объединений организаций профсоюзов ФНПР, разработав комплекс мер, направленных на увеличение подписки на периодические издания членских организаций ФНПР и развитие, там, где это целесообразно, практики региональных выпусков газеты «Солидарность». Срок: до конца 2008 года".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Цитата: "направить усилия на решение проблем...  обязательного подключения к сети Интернет и создания собственного веб-ресурса; изучения вопроса разработки и перспективного внедрения технологии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клон-сайтов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в структуре среднего и первичного звена общероссийских профсоюзов; проведения организационно-технических работ по обеспечению проведения прямых трансляций мероприятий ФНПР интернет-видеоконференций. Срок: второе полугодие 2009 года",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Цитата: "обеспечения каждого уровня профсоюзной структуры подразделением пресс-службы или должностью пресс-секретаря, укомплектовав подразделение компьютерной техникой и профессиональными кадрами; обеспечения увеличения подписки на центральную профсоюзную газету «Солидарность» и информационно-аналитический журнал ФНПР «Профсоюзы и экономика». Срок: до конца 2008 года".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Цитата: "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разработать и ввести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специальный курс подготовки (повышения квалификации) кадров, работающих в информационных структурах профсоюзов, включив в данный курс современные разработки в области PR-технологий, основы социологии, психологии, информатики, рекламы и т.д. Срок: второе полугодие 2008 года; создать учебную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видео-студию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для производства документальных фильмов о мероприятиях, проводимых ФНПР и ее членскими организациями, в том числе коллективных </w:t>
            </w: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lastRenderedPageBreak/>
              <w:t>действий профсоюзов. Срок: май 2008 года". И так далее. 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Все предложения очень правильные. Вопрос в том - почему они не были реализованы? Дело не в исполнительской дисциплине. Суть в том, что отдельные мероприятия невозможно выполнить без качественного изменения отношения к теме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информработы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, без принятия аналогичных решений в членских организациях ФНПР, без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реализацией этих решений и без ответственности за невыполнение. Скажем, откроет профсоюзный ВУЗ спецкурс подготовки кадров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работающих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информструктурах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, как было изложено в вышеназванном постановлении. Дело вроде бы полезное. А кто туда приедет учиться, если регион или отраслевой профсоюз на это не выделит финансов? Сейчас ситуация обстоит так, что выделение или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невыделение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денег на информационную работу является не элементом последовательной политики, а совершенно ситуационным действием.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За решением в области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информполитики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должны идти деньги и ответственность. Если денег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нет и ответственности нет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- можно принимать любые решения. Они не будут реализованы.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Почему не идут деньги и ответственность?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На мой взгляд, потому что, несмотря на общепринятые утверждения о важности и нужности информационной работы, она остается в положении бедной родственницы, которая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служит на посылках по совершенно разным поводам и которую при этом постоянно подозревают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в мелких кражах  родового серебра и гулянках.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Пример. Никто и никогда не пытается вменить в обязанность профсоюзному бухгалтеру оценку социально-экономической ситуации в регионе на том основании, что он тоже считает цифры. Но является общей практикой, когда информационный работник должен уметь верстать газету,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выступать на радио и организовать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встречу с представителями СМИ. Хотя это совершенно разный функционал. И совершенно разные специальности.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А попытки совместить в одном лице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информработника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 жнеца и швеца - чтобы сэкономить - приводят к тому, что жнут, и шьют зачастую плохо.</w:t>
            </w:r>
            <w:proofErr w:type="gramEnd"/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Но и это - частность.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Представляется, что есть серьезное недопонимание того для чего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принципе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необходима информационная работа в профорганизации. Обычно она рассматривается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отрыве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от организационной работы и мотивации профсоюзного членства. Как некая формальность. Вроде должен быть пресс-центр. Вроде бы нужна газета.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Если же попытаться проанализировать три этих направления в комплексе -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информработу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, оргработу и мотивацию, а точнее - их проблемные точки, то многое становится на места.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Почему при проведении профсоюзные акций, региональные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профструктуры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зачастую  опираются на административный ресурс (и мы об этом знаем, это не является секретом)? Потому что людей трудно привлечь к добровольному и активному участию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пикетах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, митингах и демонстрациях. Почему сложно привлечь? Не только из-за технических сложностей. Потому что они не убеждены в правильности и эффективности этих акций. Почему не убеждены? Потому что либо не убеждали, либо убеждали формально и непрофессионально.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Почему после повышения зарплаты на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предприятии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люди выходят из профсоюза, чтобы не платить увеличившиеся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профвзносы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? Потому что они не убеждены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наличии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прямой связи между работой профсоюза и повышением зарплаты. То есть им об этом говорили, но не убедили.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Почему люди не вступают в профсоюз? Потому что они не убеждены в том, что это эффективно, что это моральная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ценность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за которую нужно держаться и ради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которой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нужно иногда претерпевать некоторые или многие неудобства. Потому что - повторюсь - они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этом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не убеждены.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Да, иногда их информируют. Но эти формы информирования не убеждают.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Почему так происходит? Считаю, что причин несколько. Но главной является следующая: система убеждения (читай, информационной работы) у нас не отстроена.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Несмотря на то, что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масштабе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ФНПР заявлена Единая информационная система профсоюзов, в настоящий момент единой она не является. Продолжая  аналогию с организационной работой, информационная работа реализуется на каждой территории и в каждом отраслевом профсоюзе по своему - от более эффективных форм до имитации, в каждом отраслевом профсоюзе также по своему, это относится и к уровню региональных комитетов профсоюзов и к уровню первичных профсоюзных </w:t>
            </w: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lastRenderedPageBreak/>
              <w:t>организаций. 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Можно конечно сказать, что так отражается отраслевая или региональная специфика. Но эта специфика никак не мешает членам профсоюза читать одни и те же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общепопулярные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издания или смотреть центральные телеканалы,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где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кстати профсоюзная тема появляется редко. Но только речь заходит о единых методах информирования, пропаганды и агитации в пользу профсоюзной идеи - которые за счет стандартизации приобретают мультипликативный эффект - как сразу звучат аргументы о специфике. Как будто и зарплату наши работники получают не рублями всюду - а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Новгороде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серебром, а в Сибири куницами.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Древнее выражение "кто владеет информацией - владеет миром" на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уровне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многих региональных организаций превратилось в циничное "кто скрывает информацию - владеет своей организацией". Поясню. Нередко приезжая в регион из уст руководителей комитета отраслевого профсоюза можно слышать "Чем занимается ФНПР? Чем занимаются профсоюзы на уровне России?".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Такой вопрос не мог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появится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у того, кто регулярно читает центральные профсоюзные издания, интернет-сайт ФНПР. Сложилась ситуация, когда можно свою личную неграмотность возводить в достоинство, адресуя претензии, образно говоря, в Москву. Если этого не знает председатель обкома, если на территории региона выписан один экземпляр газеты "Солидарность", если можно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заявлять что на агитацию и пропаганду нет денег, возникает вопрос:  "на что они есть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?". И возникает убеждение, что и эти деньги скоро окончатся. За отсутствием членских взносов.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На уровне большинства регионов профсоюзные СМИ и информационные службы поставлены в ситуацию, когда они вынуждены либо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выцыганивать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деньги на свое существование, либо заниматься имитацией работы целиком или по ряду направлений. Я хочу с этой трибуны напомнить, что издание профсоюзной газеты раз в месяц или еще реже тиражом в тысячу экземпляров на 4 страницы - является имитацией профсоюзной работы. Особенно, если при этом она складируется в кабинетах, не попадает в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первички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, и даже цели такой не ставится.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Как главный редактор газеты  "Солидарность" не могу не сказать о проблеме подписки. Решений двух съездов ФНПР о минимальном уровне подписки "один </w:t>
            </w:r>
            <w:proofErr w:type="spellStart"/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экз</w:t>
            </w:r>
            <w:proofErr w:type="spellEnd"/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газеты не менее чем на сто членов профсоюзов" оказалось явно недостаточно. На страницах газеты мы публиковали процент выполнения этих резолюций на уровне регионов и всей России. В масштабах страны мы добились выполнения нижней планки подписки на уровне около 16%. То есть один экземпляр газеты "Солидарность" поступает даже не одному из ста членов профсоюзов (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что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кстати, не очень много), а примерно одному из 800 членов профсоюзов. При этом нужно учитывать, что бюджет газеты на 80 процентов складывается из подписки и только примерно на 20 процентов из дотаций учредителей. Мы стараемся предоставлять профсоюзной аудитории полезную информацию. В том числе выступая организаторами и кампаний солидарности в поддержку профорганизаций, и различных мотивационных конкурсов. Так сказать и поем, и пляшем. Но весело нам, как изданию, находящемуся по сути в рыночных условиях, далеко не всегда. 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Как историк по образованию, приведу одну историю о том - как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закончился рынок в виде НЭПа в Советском Союзе и началась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коллективизация.  В 1927 году после провала хлебозаготовок, зажиточный крестьянин не продал государству зерно, выжидая более выгодной цены. Возникла угроза голода. И все советское правительство уехало в регионы, уговаривать кулаков. Приехал товарищ  Сталин в Алтайский край, беседует с жителями, уговаривает продать (не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отдать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а продать) хлеб. А один зажиточный хлебороб ему говорит: "А ты, рябой, попляши, тогда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может и продам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хлебушек". На этом НЭП в общем-то и закончился. Началась коллективизация. Вот примерно также ласковыми уговорами и рекомендациями, песнями и плясками  мы пытаемся вести информационную работу и подписывать на газету. К сожалению, не обладая возможностями и, наверное, способностями товарища Сталина. 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Нужно прямо признать -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формате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рекомендаций информационная работа, извините за тавтологию, не работает. К слову сказать, на мой взгляд, точно так же не работает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формате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рекомендаций и организационная работа. Я могу еще представить, что ФНПР рекомендует нечто своим членским организациям. Однако, когда отраслевой профсоюз - гораздо более централизованная структура - дает  своим комитетам и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первичкам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только рекомендации, а не прямые распоряжения, мы должны понимать сразу - эти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рекомендации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скорее всего не будут выполнены.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Нужны ответственные решения с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контролем за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исполнением. Причем с контролем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отношении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избранных профсоюзных руководителей, отвечающих за данные направления.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Это означает, что необходимы последовательные шаги для изменения ситуации: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1. Нужно уйти от представления, что эффективно работающая система информационной работы в </w:t>
            </w: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lastRenderedPageBreak/>
              <w:t>членской организации ФНПР - на территории или в отрасли - может сложиться сама по себе, стихийно.  Мы сегодня имеем дело с тем, что сложилось стихийно. Причем как сложилось стихийно, так стихийно и работает. Или не работает.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2. Необходимо, чтобы в членских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организациях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были определены ответственные избранные руководители, которые лично отвечают за информацию, агитацию и пропаганду. Оптимально - это избранные профсоюзные руководители:  председатель или заместитель председателя членской организации.  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3. Необходимо провести ревизию наших информационных ресурсов. Речь здесь не только об изданиях, сайтах или программах. Два года назад при попытке проведения подобного исследования на базе ДОС мы столкнулись с тем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.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ч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то ни на уровне членской организации, ни на уровне регионального комитета нет информации о ситуации в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первичках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- ни о стендах, ни об имеющейся там печатной продукции, ни об уровне подписке на профсоюзные издания, ни о регулярности встреч в коллективах. Почти ничего ни о том - ЧТО мы распространяем сейчас, ГДЕ мы это распространяем и с помощью чего.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4. Необходима централизованная и массовая система распространения информация.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Базирующаяся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на директивных решениях отраслевых профсоюзов и координирующих, поддерживающих эти решения, действиях территориальных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профобьединений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. В рамках членской организации ФНПР - в первую очередь,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отраслевого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профсоюза - необходимо определить тот прожиточный информационный минимум, который должен быть в каждом региональном комитете,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первичке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.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Рекомендациях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по взаимодействию информационных структур, принятых Исполкомом ФНПР еще в 2012 году, был описан такой минимум. Он должен быть осмыслен, адаптирован и принят решениями коллегиальных органов в виде конкретных параметров для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отраслевого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профсоюза.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5. И последнее. На основании общих решений и на базе определенного "информационного прожиточного минимума" нужно возвращаться к системе квот в каждой профорганизации. Я имею в виду квоты и на финансирование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информ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работы, и на наличие в профсоюзной структуре соответствующих подразделений и должностей, и на распространение профсоюзных изданий. Не рекомендации, а конкретные параметры.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Эти предложения сформулированы в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проекте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постановления Генсовета. Я прошу поддержать его и далее - рассмотреть и принять коллегиальными органами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членских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организаций ФНПР аналогичные решения. А после проконтролировать  их исполнение.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Со своей стороны предлагаю в проект постановления внести следующее предложение: объявить 2017 год - годом профсоюзной информации на всех уровнях: от центрального аппарата ФНПР до первичной организации и цеха.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Сегодня Михаил Викторович уже процитировал Маяковского.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Я позволю напомнить и другую цитату Владимира Владимировича, относящуюся к информационной работе, работе со словом.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Я знаю силу слов, я знаю слов набат.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Они не те, которым рукоплещут ложи.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От слов таких срываются гроба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шагать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четверкою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своих дубовых ножек.</w:t>
            </w:r>
          </w:p>
          <w:p w:rsidR="00BD104F" w:rsidRPr="00BD104F" w:rsidRDefault="00BD104F" w:rsidP="00BD104F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Давайте не только </w:t>
            </w:r>
            <w:proofErr w:type="gram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найдем и скажем</w:t>
            </w:r>
            <w:proofErr w:type="gram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такие слова членам профсоюзов, но вместе донесем эти слова в </w:t>
            </w:r>
            <w:proofErr w:type="spellStart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первички</w:t>
            </w:r>
            <w:proofErr w:type="spellEnd"/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и убедим их в нашей правоте.</w:t>
            </w:r>
          </w:p>
          <w:p w:rsidR="00BD104F" w:rsidRPr="00BD104F" w:rsidRDefault="00BD104F" w:rsidP="00BD104F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BD104F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И только тогда за нами пойдут по-настоящему!</w:t>
            </w:r>
          </w:p>
        </w:tc>
      </w:tr>
    </w:tbl>
    <w:p w:rsidR="006C3489" w:rsidRDefault="006C3489"/>
    <w:sectPr w:rsidR="006C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4F"/>
    <w:rsid w:val="006C3489"/>
    <w:rsid w:val="00912A65"/>
    <w:rsid w:val="00B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2017-09-22T11:51:00Z</dcterms:created>
  <dcterms:modified xsi:type="dcterms:W3CDTF">2017-09-22T11:52:00Z</dcterms:modified>
</cp:coreProperties>
</file>